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65" w:type="dxa"/>
        <w:jc w:val="left"/>
        <w:tblInd w:w="-6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29"/>
        <w:gridCol w:w="6935"/>
      </w:tblGrid>
      <w:tr>
        <w:trPr>
          <w:trHeight w:val="283" w:hRule="atLeast"/>
        </w:trPr>
        <w:tc>
          <w:tcPr>
            <w:tcW w:w="10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Uczelni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Wyższa Szkoła Umiejętności Zawodowych w Pińczowie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Wydziału i Kierunku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Wydział Pielęgniarstwa, Kierunek: Pielęgniarstwo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WSPÓŁPRACA W ZESPOŁACH OPIEKI ZDROWOTNEJ,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–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Kod przedmiotu: PI.POP.25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Język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Polski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Obowiązkowy 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Nauki społeczne i humanistyczne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Rok studiów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Semestr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II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Osoba/zespół Przygotowująca/y kartę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ar-SA"/>
              </w:rPr>
              <w:t>Wydział Pielęgniarstwa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Sposób realizacji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Zajęcia wymagające bezpośredniego udziału nauczyciela akademickiego                          i studentów: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wykład, ćwiczenia.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Samokształcenie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Wymagania wstępne i dodatkowe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BRAK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wykłady – 15 godz.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ćwiczenia – 5 godz.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samokształcenie – 20 godz.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Gwka"/>
              <w:tabs>
                <w:tab w:val="clear" w:pos="4536"/>
                <w:tab w:val="clear" w:pos="9072"/>
              </w:tabs>
              <w:rPr/>
            </w:pPr>
            <w:r>
              <w:rPr>
                <w:rFonts w:cs="Times New Roman" w:ascii="Times New Roman" w:hAnsi="Times New Roman"/>
                <w:bCs/>
                <w:lang w:val="pl-PL"/>
              </w:rPr>
              <w:t>2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Wykład: wykład informacyjny,  problemowy, dyskusja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Wykłady - zaliczenie z oceną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Ćwiczenia – zaliczenie z oceną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Zajęcia bez bezpośredniego udziału nauczyciela – zaliczenie z oceną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Warunki zaliczenia i dopuszczenia do zaliczenia wykładu: posiadanie zalicze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ń z ćwiczeń i samokształcenia.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Samokształcenie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-  test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Cel 1 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/>
            </w:pPr>
            <w:r>
              <w:rPr>
                <w:rFonts w:cs="Times New Roman"/>
                <w:color w:val="000000"/>
                <w:sz w:val="20"/>
                <w:szCs w:val="20"/>
              </w:rPr>
              <w:t>Dostarczenie wiedzy na temat funkcjonowania zespołów pracowniczych, specyfiki funkcji kierowniczych, stylów zarządzania, kultury organizacyjnej w kierowaniu zespołami pracowniczymi. Nauczanie planowania i organizowania pracy zespołowej i rozwiązywania konfliktów oraz negocjowania problemów w kierowaniu zespołami pracowniczymi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W wyniku kształcenia student: 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u w:val="single"/>
              </w:rPr>
              <w:t>W zakresie wiedzy: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C.W43 Zna priorytety pracy zespołowej i czynniki wpływające na efektywność pracy zespołu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C.W44 Zna znaczenie motywacji członków zespołu dla jakości i efektywności pracy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C.W45 Zna rolę przywództwa i style zarządzania w pracy zespołowej oraz ich wady i zalety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C.W46 Zna proces podejmowania decyzji w zespole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C.W47 Zna metody samooceny pracy zespołu</w:t>
            </w:r>
          </w:p>
          <w:p>
            <w:pPr>
              <w:pStyle w:val="Standard"/>
              <w:tabs>
                <w:tab w:val="clear" w:pos="709"/>
                <w:tab w:val="left" w:pos="0" w:leader="none"/>
              </w:tabs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C.W48 Zna czynniki zakłócające pracę zespołową i metody rozwiązywania konfliktów  w zespole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u w:val="single"/>
              </w:rPr>
              <w:t xml:space="preserve">W zakresie umiejętności: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C.U53 Potrafi analizować korzyści wynikające z pracy zespołowej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C.U54 Potrafi korzystać z wybranych modeli organizowania pracy własnej i zespołu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C.U55 Potrafi wskazywać sposoby rozwiązywania problemów członków zespołu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C.U56 Potrafi planować pracę zespołu i motywować członków zespołu do pracy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C.U57 Potrafi identyfikować czynniki zakłócające pracę zespołu i wskazywać sposoby zwiększenia efektywności w pracy zespołowej</w:t>
            </w:r>
          </w:p>
          <w:p>
            <w:pPr>
              <w:pStyle w:val="Standard"/>
              <w:tabs>
                <w:tab w:val="clear" w:pos="709"/>
                <w:tab w:val="left" w:pos="851" w:leader="none"/>
              </w:tabs>
              <w:snapToGrid w:val="false"/>
              <w:spacing w:before="40" w:after="0"/>
              <w:ind w:left="315" w:hanging="283"/>
              <w:jc w:val="both"/>
              <w:rPr>
                <w:rFonts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/>
                <w:b/>
                <w:sz w:val="20"/>
                <w:szCs w:val="20"/>
                <w:u w:val="single"/>
              </w:rPr>
              <w:t>W zakresie kompetencji:</w:t>
            </w:r>
          </w:p>
          <w:p>
            <w:pPr>
              <w:pStyle w:val="Standard"/>
              <w:tabs>
                <w:tab w:val="clear" w:pos="709"/>
                <w:tab w:val="left" w:pos="851" w:leader="none"/>
              </w:tabs>
              <w:snapToGrid w:val="false"/>
              <w:spacing w:before="40" w:after="0"/>
              <w:ind w:left="315" w:hanging="28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K.05 Zasięga opinii ekspertów w przypadku trudności z samodzielnym rozwiązaniem problemu</w:t>
            </w:r>
          </w:p>
          <w:p>
            <w:pPr>
              <w:pStyle w:val="Normal"/>
              <w:spacing w:before="0" w:after="29"/>
              <w:ind w:left="317" w:hanging="317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K.07 Dostrzega i rozpoznaje własne ograniczenia w zakresie wiedzy, umiejętności      i kompetencji społecznych oraz dokonuje samooceny deficytów i potrzeb edukacyjnych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Treści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numPr>
                <w:ilvl w:val="0"/>
                <w:numId w:val="2"/>
              </w:numPr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pl-PL"/>
              </w:rPr>
              <w:t>WYKŁADY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P1. Specyfika zespołu jako grupy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P2. Efektywność kierowania zespołem pracowniczym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P3. Zespół pracowniczy wobec zmian: kultury organizacyjnej, nowych technologii.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P4. Funkcje kierownicze i style zarządzania w organizacji pracy zespołowej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SEMINARIUM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P5. Metody planowania i usprawniania pracy własnej i zespołowej. Źródła niesprawności.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P6. Komunikacja w zespole pracowniczym</w:t>
            </w:r>
          </w:p>
          <w:p>
            <w:pPr>
              <w:pStyle w:val="Normal"/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SAMOKSZTAŁCENIE</w:t>
            </w:r>
          </w:p>
          <w:p>
            <w:pPr>
              <w:pStyle w:val="Normal"/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P7. Techniki negocjowania w kierowaniu zespołami pracowniczymi</w:t>
            </w:r>
          </w:p>
          <w:p>
            <w:pPr>
              <w:pStyle w:val="Normal"/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P8.Podejmowanie decyzji w zespole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Wykaz literatury podstawowej i uzupełniającej, obowiązującej do zaliczenia danego modułu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125" w:hanging="0"/>
              <w:jc w:val="both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Literatura podstawowa: </w:t>
            </w:r>
          </w:p>
          <w:p>
            <w:pPr>
              <w:pStyle w:val="Normal"/>
              <w:spacing w:lineRule="auto" w:line="240" w:before="0" w:after="0"/>
              <w:ind w:left="125" w:hanging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Ksykiewicz-Dorota A (red) – Zarządzanie w pielęgniarstwie. Wyd PZWL,2013</w:t>
            </w:r>
          </w:p>
          <w:p>
            <w:pPr>
              <w:pStyle w:val="Normal"/>
              <w:spacing w:lineRule="auto" w:line="240" w:before="0" w:after="0"/>
              <w:ind w:left="125" w:hang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Szyszak B – Praca zespołowa: tworzenie, formy działania, korzyści i budowa zespołu. Wyd.Wiedza i Praktyka</w:t>
            </w:r>
          </w:p>
          <w:p>
            <w:pPr>
              <w:pStyle w:val="Normal"/>
              <w:spacing w:lineRule="auto" w:line="240" w:before="0" w:after="0"/>
              <w:ind w:left="125" w:hang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Literatura uzupełniająca:</w:t>
            </w:r>
          </w:p>
          <w:p>
            <w:pPr>
              <w:pStyle w:val="Normal"/>
              <w:tabs>
                <w:tab w:val="clear" w:pos="709"/>
                <w:tab w:val="left" w:pos="264" w:leader="none"/>
              </w:tabs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Kożusznik B – Kierowanie zespołem pracowniczym. Polskie Wydawnictwo      Ekonomiczne,Warszawa 2005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3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0"/>
        <w:gridCol w:w="1649"/>
        <w:gridCol w:w="1930"/>
        <w:gridCol w:w="1530"/>
        <w:gridCol w:w="1582"/>
        <w:gridCol w:w="1603"/>
      </w:tblGrid>
      <w:tr>
        <w:trPr/>
        <w:tc>
          <w:tcPr>
            <w:tcW w:w="9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KRYTERIA OCENY OSIĄGNIĘTYCH EFEKTÓW KSZTAŁCENIA </w:t>
            </w:r>
          </w:p>
        </w:tc>
      </w:tr>
      <w:tr>
        <w:trPr/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bardzo dobrą (5,0)</w:t>
            </w: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dobrą plus (4,5)</w:t>
            </w:r>
          </w:p>
        </w:tc>
        <w:tc>
          <w:tcPr>
            <w:tcW w:w="1930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dobrą (4,0)</w:t>
            </w: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dostateczna plus (3,5)</w:t>
            </w:r>
          </w:p>
        </w:tc>
        <w:tc>
          <w:tcPr>
            <w:tcW w:w="1582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dostateczną (3,0)</w:t>
            </w:r>
          </w:p>
        </w:tc>
        <w:tc>
          <w:tcPr>
            <w:tcW w:w="1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niedostateczną (2,0)</w:t>
            </w:r>
          </w:p>
        </w:tc>
      </w:tr>
      <w:tr>
        <w:trPr/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96 – 100 %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pozytywnych odpowiedzi                  z rozwiązywania zadań. Student ma dużą wiedzę                          i umiejętności, samodzielnie myśli                            i rozwiązuje problemy badawcze. </w:t>
            </w: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86 -95 %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z rozwiązywania zadań. Student ma duży zasób wiedzy                i umiejętności, ale efekty kształcenia nie wykraczają poza zakres omawianego materiału.</w:t>
            </w:r>
          </w:p>
        </w:tc>
        <w:tc>
          <w:tcPr>
            <w:tcW w:w="19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 – 85 %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              z rozwiązywania zadań. Student opanował efekty kształcenia         w stopniu dobrym, potrafi prawidłowo formułować myśli, posługiwać się wiedzą i wymaganym słownictwem medycznym.</w:t>
            </w: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 – 75 %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           z rozwiązywania zadań. Student opanował efekty kształcenia             w stopniu zadowalającym, ale nie posługuje się wymaganym słownictwem medycznym.</w:t>
            </w:r>
          </w:p>
        </w:tc>
        <w:tc>
          <w:tcPr>
            <w:tcW w:w="15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 – 65 %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z rozwiązywania zadań. Student opanował efekty kształcenia               w stopniu dostatecznym.</w:t>
            </w:r>
          </w:p>
        </w:tc>
        <w:tc>
          <w:tcPr>
            <w:tcW w:w="1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Poniżej 55 %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z rozwiązywania zadań. Odpowiedzi błędne, luki                               w wiadomościach. Student nie opanował założonych efektów kształcenia.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BILANS PUNKTÓW ECTS – NAKŁAD PRACY STUDENTA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tbl>
      <w:tblPr>
        <w:tblW w:w="10033" w:type="dxa"/>
        <w:jc w:val="left"/>
        <w:tblInd w:w="24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985"/>
        <w:gridCol w:w="1518"/>
        <w:gridCol w:w="1530"/>
      </w:tblGrid>
      <w:tr>
        <w:trPr>
          <w:trHeight w:val="705" w:hRule="exact"/>
        </w:trPr>
        <w:tc>
          <w:tcPr>
            <w:tcW w:w="6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Kategoria</w:t>
            </w:r>
          </w:p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Obciążenie studenta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Punkty ECTS</w:t>
            </w:r>
          </w:p>
        </w:tc>
      </w:tr>
      <w:tr>
        <w:trPr>
          <w:trHeight w:val="615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hd w:val="clear" w:color="auto" w:fill="DDDDDD"/>
              <w:spacing w:lineRule="auto" w:line="240"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Udział w zajęciach dydaktycznych określonych w planie studiów (godz. kontaktowe)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390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Udział w wykładach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60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Udział w ćwiczeniach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90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Samokształcenie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05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Przygotowanie do wykładu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0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Przygotowanie do ćwiczeń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20" w:hRule="exact"/>
        </w:trPr>
        <w:tc>
          <w:tcPr>
            <w:tcW w:w="6985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Łączna liczba godzin/punktów ECTS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432" w:hanging="432"/>
      </w:pPr>
      <w:rPr>
        <w:sz w:val="20"/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3"/>
      <w:numFmt w:val="upperLetter"/>
      <w:lvlText w:val="%1."/>
      <w:lvlJc w:val="left"/>
      <w:pPr>
        <w:ind w:left="1440" w:hanging="360"/>
      </w:pPr>
      <w:rPr>
        <w:sz w:val="20"/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418f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link w:val="Nagwek1Znak"/>
    <w:qFormat/>
    <w:rsid w:val="00e418fd"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e418fd"/>
    <w:rPr>
      <w:rFonts w:ascii="Cambria" w:hAnsi="Cambria" w:eastAsia="Times New Roman" w:cs="Cambria"/>
      <w:b/>
      <w:bCs/>
      <w:kern w:val="2"/>
      <w:sz w:val="32"/>
      <w:szCs w:val="32"/>
      <w:lang w:val="x-none" w:eastAsia="ar-SA"/>
    </w:rPr>
  </w:style>
  <w:style w:type="character" w:styleId="NagwekZnak" w:customStyle="1">
    <w:name w:val="Nagłówek Znak"/>
    <w:basedOn w:val="DefaultParagraphFont"/>
    <w:link w:val="Nagwek"/>
    <w:qFormat/>
    <w:rsid w:val="00e418fd"/>
    <w:rPr>
      <w:rFonts w:ascii="Calibri" w:hAnsi="Calibri" w:eastAsia="Times New Roman" w:cs="Calibri"/>
      <w:kern w:val="2"/>
      <w:sz w:val="20"/>
      <w:szCs w:val="20"/>
      <w:lang w:val="x-none"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005bc"/>
    <w:rPr>
      <w:rFonts w:ascii="Segoe UI" w:hAnsi="Segoe UI" w:eastAsia="Times New Roman" w:cs="Segoe UI"/>
      <w:kern w:val="2"/>
      <w:sz w:val="18"/>
      <w:szCs w:val="18"/>
      <w:lang w:eastAsia="ar-SA"/>
    </w:rPr>
  </w:style>
  <w:style w:type="character" w:styleId="ZnakZnak4">
    <w:name w:val="Znak Znak4"/>
    <w:qFormat/>
    <w:rPr>
      <w:rFonts w:ascii="Calibri" w:hAnsi="Calibri" w:eastAsia="Calibri"/>
      <w:lang w:val="pl-PL" w:eastAsia="ar-SA"/>
    </w:rPr>
  </w:style>
  <w:style w:type="character" w:styleId="ZnakZnak7">
    <w:name w:val="Znak Znak7"/>
    <w:qFormat/>
    <w:rPr>
      <w:rFonts w:ascii="Calibri" w:hAnsi="Calibri" w:eastAsia="Calibri"/>
      <w:lang w:val="pl-PL" w:eastAsia="ar-SA"/>
    </w:rPr>
  </w:style>
  <w:style w:type="character" w:styleId="ZnakZnak8">
    <w:name w:val="Znak Znak8"/>
    <w:qFormat/>
    <w:rPr>
      <w:rFonts w:eastAsia="Arial"/>
      <w:lang w:eastAsia="pl-PL"/>
    </w:rPr>
  </w:style>
  <w:style w:type="character" w:styleId="ZnakZnak9">
    <w:name w:val="Znak Znak9"/>
    <w:qFormat/>
    <w:rPr>
      <w:b/>
      <w:sz w:val="24"/>
      <w:lang w:val="pl-PL"/>
    </w:rPr>
  </w:style>
  <w:style w:type="character" w:styleId="Domylnaczcionkaakapitu1">
    <w:name w:val="Domyślna czcionka akapitu1"/>
    <w:qFormat/>
    <w:rPr/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Times New Roman" w:hAnsi="Times New Roman" w:eastAsia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e418fd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>
      <w:sz w:val="20"/>
      <w:szCs w:val="20"/>
      <w:lang w:val="x-none"/>
    </w:rPr>
  </w:style>
  <w:style w:type="paragraph" w:styleId="Standard" w:customStyle="1">
    <w:name w:val="Standard"/>
    <w:qFormat/>
    <w:rsid w:val="00e418f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ahoma"/>
      <w:color w:val="auto"/>
      <w:kern w:val="2"/>
      <w:sz w:val="24"/>
      <w:szCs w:val="24"/>
      <w:lang w:val="pl-PL" w:eastAsia="ar-SA" w:bidi="ar-SA"/>
    </w:rPr>
  </w:style>
  <w:style w:type="paragraph" w:styleId="ListParagraph">
    <w:name w:val="List Paragraph"/>
    <w:basedOn w:val="Normal"/>
    <w:uiPriority w:val="34"/>
    <w:qFormat/>
    <w:rsid w:val="00e418f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005b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sz w:val="20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Mangal"/>
      <w:sz w:val="28"/>
      <w:szCs w:val="28"/>
      <w:lang w:eastAsia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LibreOffice/6.4.0.3$Windows_X86_64 LibreOffice_project/b0a288ab3d2d4774cb44b62f04d5d28733ac6df8</Application>
  <Pages>3</Pages>
  <Words>694</Words>
  <Characters>4817</Characters>
  <CharactersWithSpaces>5633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k.waligorska</dc:creator>
  <dc:description/>
  <dc:language>pl-PL</dc:language>
  <cp:lastModifiedBy/>
  <dcterms:modified xsi:type="dcterms:W3CDTF">2020-09-13T20:01:10Z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